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commentRangeStart w:id="0"/>
      <w:r w:rsidDel="00000000" w:rsidR="00000000" w:rsidRPr="00000000">
        <w:rPr>
          <w:b w:val="1"/>
          <w:sz w:val="28"/>
          <w:szCs w:val="28"/>
          <w:rtl w:val="0"/>
        </w:rPr>
        <w:t xml:space="preserve">Keywords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b w:val="1"/>
          <w:sz w:val="28"/>
          <w:szCs w:val="28"/>
          <w:rtl w:val="0"/>
        </w:rPr>
        <w:t xml:space="preserve"> for G.Drive Descriptions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i w:val="1"/>
          <w:sz w:val="28"/>
          <w:szCs w:val="28"/>
          <w:rtl w:val="0"/>
        </w:rPr>
        <w:t xml:space="preserve">Subject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Arrest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Animal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Assembly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Banner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Child (Pre-teen)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Crowd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Conversation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Dress (clothing, costume, facepaint etc)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Elder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Legal Observers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Lock on (includes glue on)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Media (camera crews etc)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MP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Politician (eg Council members)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Talk (people listening/watching)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Speech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Music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Performance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Dance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Notable (rather than naming individually, includes prominent XR folk)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Placard (inc. patches)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Police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Roadblock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Youth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Structure (includes interaction with a building)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Food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Graffiti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Kettle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Flyposting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Theme: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Brotherhood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Family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Celebration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Connect (positive physical touch)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Diversity (includes ethnicity, class, gender, and other forms of diversity)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Faith (Overtly religious and/or spiritual)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Grief (including symbols, objects eg wreath, ritual)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Generations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Human (where the pic is all about an individual/close up)/#humansofxr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Solidarity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Solutions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State</w:t>
      </w:r>
      <w:r w:rsidDel="00000000" w:rsidR="00000000" w:rsidRPr="00000000">
        <w:rPr>
          <w:rtl w:val="0"/>
        </w:rPr>
        <w:t xml:space="preserve"> (e.g. specifically powerful view on relationship between citizens and state power)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Affinity (Groups)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Place (sense of location)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Social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Training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Sisterhood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Regenerative (wellbeing, welfare inc)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Veteran Affinity Groups: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Snowflakes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CCA (Christian Climate Action)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Add other prominent Affinity Groups as appropriate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Design Elements (for images with simple, uncluttered compositions suitable for design and social media)</w:t>
      </w:r>
      <w:r w:rsidDel="00000000" w:rsidR="00000000" w:rsidRPr="00000000">
        <w:rPr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Horizontal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Vertical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Poster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Banner/Header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Banner (includes placard)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Flag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Thanks :)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ndrew Southard" w:id="0" w:date="2019-04-18T05:19:01Z"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converted this file to a plain text file, XR Keyword import.txt. It is tab-indented for sections and has zero invisible characters (extra paragraph, spaces) and no descriptions in brackets. It will import into Bridge or Lightroom as a keyword list.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